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C86" w:rsidRDefault="00896519" w:rsidP="0042686F">
      <w:pPr>
        <w:jc w:val="center"/>
        <w:rPr>
          <w:rFonts w:ascii="Arial" w:hAnsi="Arial" w:cs="Arial"/>
          <w:b/>
          <w:noProof/>
          <w:sz w:val="28"/>
          <w:szCs w:val="28"/>
        </w:rPr>
      </w:pPr>
      <w:bookmarkStart w:id="0" w:name="_GoBack"/>
      <w:bookmarkEnd w:id="0"/>
      <w:r>
        <w:rPr>
          <w:rFonts w:ascii="Arial" w:hAnsi="Arial" w:cs="Arial"/>
          <w:b/>
          <w:noProof/>
          <w:sz w:val="28"/>
          <w:szCs w:val="28"/>
        </w:rPr>
        <w:drawing>
          <wp:anchor distT="0" distB="0" distL="114300" distR="114300" simplePos="0" relativeHeight="251658240" behindDoc="0" locked="0" layoutInCell="1" allowOverlap="1">
            <wp:simplePos x="0" y="0"/>
            <wp:positionH relativeFrom="margin">
              <wp:posOffset>2381250</wp:posOffset>
            </wp:positionH>
            <wp:positionV relativeFrom="margin">
              <wp:posOffset>0</wp:posOffset>
            </wp:positionV>
            <wp:extent cx="1543050" cy="1402195"/>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543050" cy="1402195"/>
                    </a:xfrm>
                    <a:prstGeom prst="rect">
                      <a:avLst/>
                    </a:prstGeom>
                  </pic:spPr>
                </pic:pic>
              </a:graphicData>
            </a:graphic>
          </wp:anchor>
        </w:drawing>
      </w:r>
    </w:p>
    <w:p w:rsidR="0042686F" w:rsidRPr="00750C86" w:rsidRDefault="008469A3" w:rsidP="00750C86">
      <w:pPr>
        <w:jc w:val="center"/>
        <w:rPr>
          <w:rFonts w:ascii="Arial" w:hAnsi="Arial" w:cs="Arial"/>
          <w:b/>
          <w:sz w:val="28"/>
          <w:szCs w:val="28"/>
        </w:rPr>
      </w:pPr>
      <w:r>
        <w:rPr>
          <w:rFonts w:ascii="Arial" w:hAnsi="Arial" w:cs="Arial"/>
          <w:b/>
          <w:sz w:val="28"/>
          <w:szCs w:val="28"/>
        </w:rPr>
        <w:tab/>
      </w:r>
    </w:p>
    <w:p w:rsidR="00750C86" w:rsidRDefault="00750C86" w:rsidP="0042686F">
      <w:pPr>
        <w:jc w:val="center"/>
        <w:rPr>
          <w:rFonts w:ascii="Arial Rounded MT Bold" w:hAnsi="Arial Rounded MT Bold" w:cs="Arial"/>
          <w:b/>
          <w:sz w:val="40"/>
          <w:szCs w:val="40"/>
        </w:rPr>
      </w:pPr>
    </w:p>
    <w:p w:rsidR="00750C86" w:rsidRDefault="00750C86" w:rsidP="0042686F">
      <w:pPr>
        <w:jc w:val="center"/>
        <w:rPr>
          <w:rFonts w:ascii="Arial Rounded MT Bold" w:hAnsi="Arial Rounded MT Bold" w:cs="Arial"/>
          <w:b/>
          <w:sz w:val="40"/>
          <w:szCs w:val="40"/>
        </w:rPr>
      </w:pPr>
    </w:p>
    <w:p w:rsidR="00F97CDE" w:rsidRDefault="00750C86" w:rsidP="0042686F">
      <w:pPr>
        <w:jc w:val="center"/>
        <w:rPr>
          <w:rFonts w:ascii="Century Gothic" w:hAnsi="Century Gothic" w:cs="Arial"/>
          <w:b/>
          <w:sz w:val="40"/>
          <w:szCs w:val="40"/>
        </w:rPr>
      </w:pPr>
      <w:r w:rsidRPr="00750C86">
        <w:rPr>
          <w:rFonts w:ascii="Century Gothic" w:hAnsi="Century Gothic" w:cs="Arial"/>
          <w:b/>
          <w:sz w:val="40"/>
          <w:szCs w:val="40"/>
        </w:rPr>
        <w:t>Dunoon Primary</w:t>
      </w:r>
      <w:r w:rsidR="0042686F" w:rsidRPr="00750C86">
        <w:rPr>
          <w:rFonts w:ascii="Century Gothic" w:hAnsi="Century Gothic" w:cs="Arial"/>
          <w:b/>
          <w:sz w:val="40"/>
          <w:szCs w:val="40"/>
        </w:rPr>
        <w:t xml:space="preserve"> School </w:t>
      </w:r>
    </w:p>
    <w:p w:rsidR="00CD2D19" w:rsidRDefault="00C35939" w:rsidP="0042686F">
      <w:pPr>
        <w:jc w:val="center"/>
        <w:rPr>
          <w:rFonts w:ascii="Century Gothic" w:hAnsi="Century Gothic" w:cs="Arial"/>
          <w:b/>
          <w:sz w:val="40"/>
          <w:szCs w:val="40"/>
        </w:rPr>
      </w:pPr>
      <w:r>
        <w:rPr>
          <w:rFonts w:ascii="Century Gothic" w:hAnsi="Century Gothic" w:cs="Arial"/>
          <w:b/>
          <w:sz w:val="40"/>
          <w:szCs w:val="40"/>
        </w:rPr>
        <w:t>Relationship</w:t>
      </w:r>
      <w:r w:rsidR="00CD2D19">
        <w:rPr>
          <w:rFonts w:ascii="Century Gothic" w:hAnsi="Century Gothic" w:cs="Arial"/>
          <w:b/>
          <w:sz w:val="40"/>
          <w:szCs w:val="40"/>
        </w:rPr>
        <w:t xml:space="preserve"> </w:t>
      </w:r>
      <w:r w:rsidR="00CD2D19" w:rsidRPr="00750C86">
        <w:rPr>
          <w:rFonts w:ascii="Century Gothic" w:hAnsi="Century Gothic" w:cs="Arial"/>
          <w:b/>
          <w:sz w:val="40"/>
          <w:szCs w:val="40"/>
        </w:rPr>
        <w:t>Policy</w:t>
      </w:r>
    </w:p>
    <w:p w:rsidR="0042686F" w:rsidRPr="00750C86" w:rsidRDefault="00F97CDE" w:rsidP="0042686F">
      <w:pPr>
        <w:jc w:val="center"/>
        <w:rPr>
          <w:rFonts w:ascii="Century Gothic" w:hAnsi="Century Gothic" w:cs="Arial"/>
          <w:b/>
          <w:sz w:val="40"/>
          <w:szCs w:val="40"/>
        </w:rPr>
      </w:pPr>
      <w:r>
        <w:rPr>
          <w:rFonts w:ascii="Century Gothic" w:hAnsi="Century Gothic" w:cs="Arial"/>
          <w:b/>
          <w:sz w:val="40"/>
          <w:szCs w:val="40"/>
        </w:rPr>
        <w:t xml:space="preserve"> 2021-2022</w:t>
      </w:r>
    </w:p>
    <w:p w:rsidR="00CD2D19" w:rsidRDefault="00EE7898" w:rsidP="00F97CDE">
      <w:pPr>
        <w:rPr>
          <w:rFonts w:ascii="Century Gothic" w:hAnsi="Century Gothic"/>
          <w:b/>
        </w:rPr>
      </w:pPr>
      <w:r w:rsidRPr="00F97CDE">
        <w:rPr>
          <w:rFonts w:ascii="Century Gothic" w:hAnsi="Century Gothic"/>
          <w:b/>
        </w:rPr>
        <w:t xml:space="preserve">Rationale </w:t>
      </w:r>
    </w:p>
    <w:tbl>
      <w:tblPr>
        <w:tblStyle w:val="TableGrid"/>
        <w:tblW w:w="0" w:type="auto"/>
        <w:tblBorders>
          <w:insideV w:val="none" w:sz="0" w:space="0" w:color="auto"/>
        </w:tblBorders>
        <w:tblLook w:val="04A0" w:firstRow="1" w:lastRow="0" w:firstColumn="1" w:lastColumn="0" w:noHBand="0" w:noVBand="1"/>
      </w:tblPr>
      <w:tblGrid>
        <w:gridCol w:w="1449"/>
        <w:gridCol w:w="7901"/>
      </w:tblGrid>
      <w:tr w:rsidR="00CD2D19" w:rsidTr="00CD2D19">
        <w:trPr>
          <w:trHeight w:val="1583"/>
        </w:trPr>
        <w:tc>
          <w:tcPr>
            <w:tcW w:w="1449" w:type="dxa"/>
          </w:tcPr>
          <w:p w:rsidR="00CD2D19" w:rsidRDefault="00CD2D19" w:rsidP="00F97CDE">
            <w:pPr>
              <w:rPr>
                <w:rFonts w:ascii="Century Gothic" w:hAnsi="Century Gothic"/>
                <w:b/>
              </w:rPr>
            </w:pPr>
            <w:r>
              <w:rPr>
                <w:rFonts w:ascii="Arial Rounded MT Bold" w:hAnsi="Arial Rounded MT Bold" w:cs="Arial"/>
                <w:b/>
                <w:noProof/>
                <w:sz w:val="40"/>
                <w:szCs w:val="40"/>
              </w:rPr>
              <w:drawing>
                <wp:anchor distT="0" distB="0" distL="114300" distR="114300" simplePos="0" relativeHeight="251660288" behindDoc="1" locked="0" layoutInCell="1" allowOverlap="1">
                  <wp:simplePos x="0" y="0"/>
                  <wp:positionH relativeFrom="column">
                    <wp:posOffset>6350</wp:posOffset>
                  </wp:positionH>
                  <wp:positionV relativeFrom="paragraph">
                    <wp:posOffset>344170</wp:posOffset>
                  </wp:positionV>
                  <wp:extent cx="782955" cy="819150"/>
                  <wp:effectExtent l="0" t="0" r="0" b="0"/>
                  <wp:wrapTight wrapText="bothSides">
                    <wp:wrapPolygon edited="0">
                      <wp:start x="526" y="1005"/>
                      <wp:lineTo x="526" y="21098"/>
                      <wp:lineTo x="21022" y="21098"/>
                      <wp:lineTo x="21022" y="1005"/>
                      <wp:lineTo x="526" y="10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4588"/>
                          <a:stretch/>
                        </pic:blipFill>
                        <pic:spPr bwMode="auto">
                          <a:xfrm>
                            <a:off x="0" y="0"/>
                            <a:ext cx="78295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01" w:type="dxa"/>
          </w:tcPr>
          <w:p w:rsidR="00CD2D19" w:rsidRDefault="00CD2D19" w:rsidP="00CD2D19">
            <w:pPr>
              <w:rPr>
                <w:rFonts w:ascii="Century Gothic" w:hAnsi="Century Gothic"/>
              </w:rPr>
            </w:pPr>
          </w:p>
          <w:p w:rsidR="00CD2D19" w:rsidRDefault="00CD2D19" w:rsidP="00CD2D19">
            <w:pPr>
              <w:rPr>
                <w:rFonts w:ascii="Century Gothic" w:hAnsi="Century Gothic"/>
              </w:rPr>
            </w:pPr>
            <w:r>
              <w:rPr>
                <w:rFonts w:ascii="Century Gothic" w:hAnsi="Century Gothic"/>
              </w:rPr>
              <w:t xml:space="preserve">The UN Convention </w:t>
            </w:r>
            <w:r w:rsidRPr="00896519">
              <w:rPr>
                <w:rFonts w:ascii="Century Gothic" w:hAnsi="Century Gothic"/>
              </w:rPr>
              <w:t>on the Rights of the Child</w:t>
            </w:r>
          </w:p>
          <w:p w:rsidR="00CD2D19" w:rsidRDefault="00CD2D19" w:rsidP="00CD2D19">
            <w:pPr>
              <w:rPr>
                <w:rFonts w:ascii="Century Gothic" w:hAnsi="Century Gothic"/>
              </w:rPr>
            </w:pPr>
          </w:p>
          <w:p w:rsidR="007A49F5" w:rsidRDefault="007A49F5" w:rsidP="00F97CDE">
            <w:pPr>
              <w:rPr>
                <w:rFonts w:ascii="Century Gothic" w:hAnsi="Century Gothic"/>
              </w:rPr>
            </w:pPr>
            <w:r w:rsidRPr="007A49F5">
              <w:rPr>
                <w:rFonts w:ascii="Century Gothic" w:hAnsi="Century Gothic"/>
              </w:rPr>
              <w:t>Article 2 (non-discriminatio</w:t>
            </w:r>
            <w:r>
              <w:rPr>
                <w:rFonts w:ascii="Century Gothic" w:hAnsi="Century Gothic"/>
              </w:rPr>
              <w:t>n)</w:t>
            </w:r>
          </w:p>
          <w:p w:rsidR="007A49F5" w:rsidRDefault="007A49F5" w:rsidP="00F97CDE">
            <w:pPr>
              <w:rPr>
                <w:rFonts w:ascii="Century Gothic" w:hAnsi="Century Gothic"/>
              </w:rPr>
            </w:pPr>
            <w:r w:rsidRPr="007A49F5">
              <w:rPr>
                <w:rFonts w:ascii="Century Gothic" w:hAnsi="Century Gothic"/>
              </w:rPr>
              <w:t xml:space="preserve">Article 12 (respect for views of the child) </w:t>
            </w:r>
          </w:p>
          <w:p w:rsidR="007A49F5" w:rsidRDefault="007A49F5" w:rsidP="00F97CDE">
            <w:pPr>
              <w:rPr>
                <w:rFonts w:ascii="Century Gothic" w:hAnsi="Century Gothic"/>
              </w:rPr>
            </w:pPr>
            <w:r w:rsidRPr="007A49F5">
              <w:rPr>
                <w:rFonts w:ascii="Century Gothic" w:hAnsi="Century Gothic"/>
              </w:rPr>
              <w:t xml:space="preserve">Article 19 (protection from violence, abuse and neglect) </w:t>
            </w:r>
          </w:p>
          <w:p w:rsidR="00CD2D19" w:rsidRDefault="007A49F5" w:rsidP="00F97CDE">
            <w:pPr>
              <w:rPr>
                <w:rFonts w:ascii="Century Gothic" w:hAnsi="Century Gothic"/>
              </w:rPr>
            </w:pPr>
            <w:r w:rsidRPr="007A49F5">
              <w:rPr>
                <w:rFonts w:ascii="Century Gothic" w:hAnsi="Century Gothic"/>
              </w:rPr>
              <w:t>Article 28 (right to education and discipline in schools must respect children’s dignity and their rights)</w:t>
            </w:r>
          </w:p>
          <w:p w:rsidR="007A49F5" w:rsidRPr="00CD2D19" w:rsidRDefault="007A49F5" w:rsidP="00F97CDE">
            <w:pPr>
              <w:rPr>
                <w:rFonts w:ascii="Century Gothic" w:hAnsi="Century Gothic"/>
              </w:rPr>
            </w:pPr>
          </w:p>
        </w:tc>
      </w:tr>
    </w:tbl>
    <w:p w:rsidR="00C35939" w:rsidRDefault="00C35939" w:rsidP="00B4156B">
      <w:pPr>
        <w:jc w:val="both"/>
        <w:rPr>
          <w:rFonts w:ascii="Century Gothic" w:hAnsi="Century Gothic"/>
        </w:rPr>
      </w:pPr>
      <w:r w:rsidRPr="00C35939">
        <w:rPr>
          <w:rFonts w:ascii="Century Gothic" w:hAnsi="Century Gothic"/>
        </w:rPr>
        <w:t>Dunoon Primary School is committed to creating an environment where the highest standards of behaviour is at the heart of productive learning. Everyone has the right to come to school to learn, work or visit and be free from unacceptable behaviour. Our positive relationships policy echoes our core values of respect, honesty and integrity</w:t>
      </w:r>
    </w:p>
    <w:p w:rsidR="00C35939" w:rsidRPr="00C35939" w:rsidRDefault="00C35939" w:rsidP="00C35939">
      <w:pPr>
        <w:jc w:val="both"/>
        <w:rPr>
          <w:rFonts w:ascii="Century Gothic" w:hAnsi="Century Gothic"/>
          <w:b/>
        </w:rPr>
      </w:pPr>
      <w:r w:rsidRPr="00C35939">
        <w:rPr>
          <w:rFonts w:ascii="Century Gothic" w:hAnsi="Century Gothic"/>
          <w:b/>
        </w:rPr>
        <w:t>Aims</w:t>
      </w:r>
    </w:p>
    <w:p w:rsidR="00021794" w:rsidRDefault="00C35939" w:rsidP="00021794">
      <w:pPr>
        <w:numPr>
          <w:ilvl w:val="0"/>
          <w:numId w:val="22"/>
        </w:numPr>
        <w:jc w:val="both"/>
        <w:rPr>
          <w:rFonts w:ascii="Century Gothic" w:hAnsi="Century Gothic"/>
        </w:rPr>
      </w:pPr>
      <w:r w:rsidRPr="00C35939">
        <w:rPr>
          <w:rFonts w:ascii="Century Gothic" w:hAnsi="Century Gothic"/>
        </w:rPr>
        <w:t>Establish</w:t>
      </w:r>
      <w:r w:rsidR="00021794" w:rsidRPr="00C35939">
        <w:rPr>
          <w:rFonts w:ascii="Century Gothic" w:hAnsi="Century Gothic"/>
        </w:rPr>
        <w:t xml:space="preserve"> open, positive, supportive relationships across the school community, where everyone feels that they are listened to</w:t>
      </w:r>
      <w:r w:rsidRPr="00C35939">
        <w:rPr>
          <w:rFonts w:ascii="Century Gothic" w:hAnsi="Century Gothic"/>
        </w:rPr>
        <w:t>.</w:t>
      </w:r>
    </w:p>
    <w:p w:rsidR="00C35939" w:rsidRPr="00021794" w:rsidRDefault="00C35939" w:rsidP="00021794">
      <w:pPr>
        <w:numPr>
          <w:ilvl w:val="0"/>
          <w:numId w:val="22"/>
        </w:numPr>
        <w:jc w:val="both"/>
        <w:rPr>
          <w:rFonts w:ascii="Century Gothic" w:hAnsi="Century Gothic"/>
        </w:rPr>
      </w:pPr>
      <w:r w:rsidRPr="00021794">
        <w:rPr>
          <w:rFonts w:ascii="Century Gothic" w:hAnsi="Century Gothic"/>
        </w:rPr>
        <w:t>Promote</w:t>
      </w:r>
      <w:r w:rsidR="00021794" w:rsidRPr="00021794">
        <w:rPr>
          <w:rFonts w:ascii="Century Gothic" w:hAnsi="Century Gothic"/>
        </w:rPr>
        <w:t xml:space="preserve"> a climate in which everyone feels safe and secure</w:t>
      </w:r>
      <w:r w:rsidRPr="00021794">
        <w:rPr>
          <w:rFonts w:ascii="Century Gothic" w:hAnsi="Century Gothic"/>
        </w:rPr>
        <w:t xml:space="preserve"> and where all learners are treated fairly, shown respect and sustain positive relationships.</w:t>
      </w:r>
    </w:p>
    <w:p w:rsidR="00C35939" w:rsidRPr="00C35939" w:rsidRDefault="00C35939" w:rsidP="00C35939">
      <w:pPr>
        <w:numPr>
          <w:ilvl w:val="0"/>
          <w:numId w:val="17"/>
        </w:numPr>
        <w:jc w:val="both"/>
        <w:rPr>
          <w:rFonts w:ascii="Century Gothic" w:hAnsi="Century Gothic"/>
        </w:rPr>
      </w:pPr>
      <w:r w:rsidRPr="00C35939">
        <w:rPr>
          <w:rFonts w:ascii="Century Gothic" w:hAnsi="Century Gothic"/>
        </w:rPr>
        <w:t>Model</w:t>
      </w:r>
      <w:r w:rsidR="00021794" w:rsidRPr="00C35939">
        <w:rPr>
          <w:rFonts w:ascii="Century Gothic" w:hAnsi="Century Gothic"/>
        </w:rPr>
        <w:t xml:space="preserve"> behaviour which promotes health and wellbeing</w:t>
      </w:r>
      <w:r w:rsidRPr="00C35939">
        <w:rPr>
          <w:rFonts w:ascii="Century Gothic" w:hAnsi="Century Gothic"/>
        </w:rPr>
        <w:t>,</w:t>
      </w:r>
      <w:r w:rsidR="00021794" w:rsidRPr="00C35939">
        <w:rPr>
          <w:rFonts w:ascii="Century Gothic" w:hAnsi="Century Gothic"/>
        </w:rPr>
        <w:t xml:space="preserve"> and encouraging it in others</w:t>
      </w:r>
      <w:r w:rsidRPr="00C35939">
        <w:rPr>
          <w:rFonts w:ascii="Century Gothic" w:hAnsi="Century Gothic"/>
        </w:rPr>
        <w:t xml:space="preserve"> to help learners take control over their behaviour and be responsible.</w:t>
      </w:r>
    </w:p>
    <w:p w:rsidR="00C35939" w:rsidRPr="00C35939" w:rsidRDefault="00C35939" w:rsidP="00C35939">
      <w:pPr>
        <w:numPr>
          <w:ilvl w:val="0"/>
          <w:numId w:val="17"/>
        </w:numPr>
        <w:jc w:val="both"/>
        <w:rPr>
          <w:rFonts w:ascii="Century Gothic" w:hAnsi="Century Gothic"/>
        </w:rPr>
      </w:pPr>
      <w:r w:rsidRPr="00C35939">
        <w:rPr>
          <w:rFonts w:ascii="Century Gothic" w:hAnsi="Century Gothic"/>
        </w:rPr>
        <w:t>To build a community which values kindness, care, good humour and empathy for others.</w:t>
      </w:r>
    </w:p>
    <w:p w:rsidR="00C35939" w:rsidRPr="00C35939" w:rsidRDefault="00C35939" w:rsidP="00C35939">
      <w:pPr>
        <w:numPr>
          <w:ilvl w:val="0"/>
          <w:numId w:val="17"/>
        </w:numPr>
        <w:jc w:val="both"/>
        <w:rPr>
          <w:rFonts w:ascii="Century Gothic" w:hAnsi="Century Gothic"/>
        </w:rPr>
      </w:pPr>
      <w:r w:rsidRPr="00C35939">
        <w:rPr>
          <w:rFonts w:ascii="Century Gothic" w:hAnsi="Century Gothic"/>
        </w:rPr>
        <w:t>To create a culture of positive behaviours: for learning, for community, for life.</w:t>
      </w:r>
    </w:p>
    <w:p w:rsidR="00C35939" w:rsidRPr="00C35939" w:rsidRDefault="00C35939" w:rsidP="00C35939">
      <w:pPr>
        <w:numPr>
          <w:ilvl w:val="0"/>
          <w:numId w:val="22"/>
        </w:numPr>
        <w:jc w:val="both"/>
        <w:rPr>
          <w:rFonts w:ascii="Century Gothic" w:hAnsi="Century Gothic"/>
        </w:rPr>
      </w:pPr>
      <w:r w:rsidRPr="00C35939">
        <w:rPr>
          <w:rFonts w:ascii="Century Gothic" w:hAnsi="Century Gothic"/>
        </w:rPr>
        <w:t>Be</w:t>
      </w:r>
      <w:r w:rsidR="00021794" w:rsidRPr="00C35939">
        <w:rPr>
          <w:rFonts w:ascii="Century Gothic" w:hAnsi="Century Gothic"/>
        </w:rPr>
        <w:t xml:space="preserve"> sensitive and res</w:t>
      </w:r>
      <w:r w:rsidRPr="00C35939">
        <w:rPr>
          <w:rFonts w:ascii="Century Gothic" w:hAnsi="Century Gothic"/>
        </w:rPr>
        <w:t>ponsive to everyone’s wellbeing.</w:t>
      </w:r>
    </w:p>
    <w:p w:rsidR="00963731" w:rsidRPr="00C35939" w:rsidRDefault="00021794" w:rsidP="00C35939">
      <w:pPr>
        <w:numPr>
          <w:ilvl w:val="0"/>
          <w:numId w:val="22"/>
        </w:numPr>
        <w:jc w:val="both"/>
        <w:rPr>
          <w:rFonts w:ascii="Century Gothic" w:hAnsi="Century Gothic"/>
        </w:rPr>
      </w:pPr>
      <w:r w:rsidRPr="00C35939">
        <w:rPr>
          <w:rFonts w:ascii="Century Gothic" w:hAnsi="Century Gothic"/>
        </w:rPr>
        <w:t>To promote community cohesion through improved relationships.</w:t>
      </w:r>
    </w:p>
    <w:p w:rsidR="00B4156B" w:rsidRPr="00966962" w:rsidRDefault="00B4156B" w:rsidP="00B4156B">
      <w:pPr>
        <w:jc w:val="both"/>
        <w:rPr>
          <w:rFonts w:ascii="Century Gothic" w:hAnsi="Century Gothic"/>
        </w:rPr>
      </w:pPr>
    </w:p>
    <w:p w:rsidR="00B4156B" w:rsidRPr="00966962" w:rsidRDefault="00B4156B" w:rsidP="00B4156B">
      <w:pPr>
        <w:jc w:val="both"/>
        <w:rPr>
          <w:rFonts w:ascii="Century Gothic" w:hAnsi="Century Gothic"/>
          <w:u w:val="single"/>
        </w:rPr>
      </w:pPr>
      <w:r w:rsidRPr="00966962">
        <w:rPr>
          <w:rFonts w:ascii="Century Gothic" w:hAnsi="Century Gothic"/>
          <w:u w:val="single"/>
        </w:rPr>
        <w:t>Key Approaches</w:t>
      </w:r>
    </w:p>
    <w:p w:rsidR="00B4156B" w:rsidRPr="00966962" w:rsidRDefault="00B4156B" w:rsidP="00B4156B">
      <w:pPr>
        <w:jc w:val="both"/>
        <w:rPr>
          <w:rFonts w:ascii="Century Gothic" w:hAnsi="Century Gothic"/>
        </w:rPr>
      </w:pPr>
      <w:r w:rsidRPr="00966962">
        <w:rPr>
          <w:rFonts w:ascii="Century Gothic" w:hAnsi="Century Gothic"/>
        </w:rPr>
        <w:t>Our Positive Relationships Policy is based on the following key approaches:</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Rooted in our behaviour code: Ready to learn, Safe and Respectful.</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Consistent, calm adult behaviour.</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Relentless routines.</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First attention to best practice.</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Scripting difficult conversations.</w:t>
      </w:r>
    </w:p>
    <w:p w:rsidR="00B4156B" w:rsidRPr="00966962" w:rsidRDefault="00B4156B" w:rsidP="00B4156B">
      <w:pPr>
        <w:pStyle w:val="ListParagraph"/>
        <w:numPr>
          <w:ilvl w:val="0"/>
          <w:numId w:val="18"/>
        </w:numPr>
        <w:spacing w:after="160"/>
        <w:jc w:val="both"/>
        <w:rPr>
          <w:rFonts w:ascii="Century Gothic" w:hAnsi="Century Gothic"/>
        </w:rPr>
      </w:pPr>
      <w:r w:rsidRPr="00966962">
        <w:rPr>
          <w:rFonts w:ascii="Century Gothic" w:hAnsi="Century Gothic"/>
        </w:rPr>
        <w:t>Restorative follow up.</w:t>
      </w:r>
    </w:p>
    <w:p w:rsidR="00B4156B" w:rsidRPr="00966962" w:rsidRDefault="00B4156B" w:rsidP="00B4156B">
      <w:pPr>
        <w:jc w:val="both"/>
        <w:rPr>
          <w:rFonts w:ascii="Century Gothic" w:hAnsi="Century Gothic"/>
        </w:rPr>
      </w:pPr>
    </w:p>
    <w:p w:rsidR="00C35939" w:rsidRPr="00C35939" w:rsidRDefault="00C35939" w:rsidP="00B4156B">
      <w:pPr>
        <w:jc w:val="both"/>
        <w:rPr>
          <w:rFonts w:ascii="Century Gothic" w:hAnsi="Century Gothic"/>
          <w:b/>
        </w:rPr>
      </w:pPr>
      <w:r w:rsidRPr="00C35939">
        <w:rPr>
          <w:rFonts w:ascii="Century Gothic" w:hAnsi="Century Gothic"/>
          <w:b/>
        </w:rPr>
        <w:t xml:space="preserve">Responsibilities </w:t>
      </w:r>
    </w:p>
    <w:p w:rsidR="00B4156B" w:rsidRPr="00C35939" w:rsidRDefault="00B4156B" w:rsidP="00B4156B">
      <w:pPr>
        <w:jc w:val="both"/>
        <w:rPr>
          <w:rFonts w:ascii="Century Gothic" w:hAnsi="Century Gothic"/>
        </w:rPr>
      </w:pPr>
      <w:r w:rsidRPr="00C35939">
        <w:rPr>
          <w:rFonts w:ascii="Century Gothic" w:hAnsi="Century Gothic"/>
        </w:rPr>
        <w:t>All Staff</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Meet and greet at the classroom door.</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Refer to Ready to learn, Safe and Respectful.</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Model positive behaviours and build relationships.</w:t>
      </w:r>
    </w:p>
    <w:p w:rsidR="00B4156B" w:rsidRPr="000875C4" w:rsidRDefault="00B4156B" w:rsidP="000875C4">
      <w:pPr>
        <w:pStyle w:val="ListParagraph"/>
        <w:numPr>
          <w:ilvl w:val="0"/>
          <w:numId w:val="16"/>
        </w:numPr>
        <w:spacing w:after="160"/>
        <w:jc w:val="both"/>
        <w:rPr>
          <w:rFonts w:ascii="Century Gothic" w:hAnsi="Century Gothic"/>
        </w:rPr>
      </w:pPr>
      <w:r w:rsidRPr="00966962">
        <w:rPr>
          <w:rFonts w:ascii="Century Gothic" w:hAnsi="Century Gothic"/>
        </w:rPr>
        <w:t>Plan lessons that engage, challenge and meet the needs of all learners.</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Be calm and give ‘take up time’ when going through the steps. Prevention strategies before sanctions.</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Follow up every time, retain ownership and engage in reflective dialogue with learners.</w:t>
      </w:r>
    </w:p>
    <w:p w:rsidR="00B4156B" w:rsidRPr="00966962" w:rsidRDefault="00B4156B" w:rsidP="00B4156B">
      <w:pPr>
        <w:pStyle w:val="ListParagraph"/>
        <w:numPr>
          <w:ilvl w:val="0"/>
          <w:numId w:val="16"/>
        </w:numPr>
        <w:spacing w:after="160"/>
        <w:jc w:val="both"/>
        <w:rPr>
          <w:rFonts w:ascii="Century Gothic" w:hAnsi="Century Gothic"/>
        </w:rPr>
      </w:pPr>
      <w:r w:rsidRPr="00966962">
        <w:rPr>
          <w:rFonts w:ascii="Century Gothic" w:hAnsi="Century Gothic"/>
        </w:rPr>
        <w:t xml:space="preserve">Never ignore or walk past learners who are </w:t>
      </w:r>
      <w:r w:rsidR="000875C4">
        <w:rPr>
          <w:rFonts w:ascii="Century Gothic" w:hAnsi="Century Gothic"/>
        </w:rPr>
        <w:t>not meeting our standard</w:t>
      </w:r>
      <w:r w:rsidRPr="00966962">
        <w:rPr>
          <w:rFonts w:ascii="Century Gothic" w:hAnsi="Century Gothic"/>
        </w:rPr>
        <w:t>.</w:t>
      </w:r>
    </w:p>
    <w:p w:rsidR="00B4156B" w:rsidRPr="00C35939" w:rsidRDefault="00B4156B" w:rsidP="00B4156B">
      <w:pPr>
        <w:jc w:val="both"/>
        <w:rPr>
          <w:rFonts w:ascii="Century Gothic" w:hAnsi="Century Gothic"/>
        </w:rPr>
      </w:pPr>
      <w:r w:rsidRPr="00C35939">
        <w:rPr>
          <w:rFonts w:ascii="Century Gothic" w:hAnsi="Century Gothic"/>
        </w:rPr>
        <w:t>Middle and Senior Leaders</w:t>
      </w:r>
    </w:p>
    <w:p w:rsidR="00B4156B" w:rsidRPr="00966962" w:rsidRDefault="00B4156B" w:rsidP="00B4156B">
      <w:pPr>
        <w:jc w:val="both"/>
        <w:rPr>
          <w:rFonts w:ascii="Century Gothic" w:hAnsi="Century Gothic"/>
        </w:rPr>
      </w:pPr>
      <w:r w:rsidRPr="00966962">
        <w:rPr>
          <w:rFonts w:ascii="Century Gothic" w:hAnsi="Century Gothic"/>
        </w:rPr>
        <w:t>Middle and senior leaders are not expected to deal with behaviour referrals in isolation. Rather they are to stand alongside colleagues to support, guide</w:t>
      </w:r>
      <w:r w:rsidR="00C35939">
        <w:rPr>
          <w:rFonts w:ascii="Century Gothic" w:hAnsi="Century Gothic"/>
        </w:rPr>
        <w:t xml:space="preserve">, </w:t>
      </w:r>
      <w:proofErr w:type="gramStart"/>
      <w:r w:rsidR="00C35939">
        <w:rPr>
          <w:rFonts w:ascii="Century Gothic" w:hAnsi="Century Gothic"/>
        </w:rPr>
        <w:t>model</w:t>
      </w:r>
      <w:proofErr w:type="gramEnd"/>
      <w:r w:rsidR="00C35939">
        <w:rPr>
          <w:rFonts w:ascii="Century Gothic" w:hAnsi="Century Gothic"/>
        </w:rPr>
        <w:t xml:space="preserve"> and display</w:t>
      </w:r>
      <w:r w:rsidRPr="00966962">
        <w:rPr>
          <w:rFonts w:ascii="Century Gothic" w:hAnsi="Century Gothic"/>
        </w:rPr>
        <w:t xml:space="preserve"> a unified consistency to the learners.</w:t>
      </w:r>
    </w:p>
    <w:p w:rsidR="00B4156B" w:rsidRPr="00966962" w:rsidRDefault="00B4156B" w:rsidP="00B4156B">
      <w:pPr>
        <w:jc w:val="both"/>
        <w:rPr>
          <w:rFonts w:ascii="Century Gothic" w:hAnsi="Century Gothic"/>
        </w:rPr>
      </w:pPr>
      <w:r w:rsidRPr="00966962">
        <w:rPr>
          <w:rFonts w:ascii="Century Gothic" w:hAnsi="Century Gothic"/>
        </w:rPr>
        <w:t>Middle/senior leaders will:</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Meet and greet learners at the beginning of the day</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Be a visible presence to encourage appropriate conduct, especially during transitions.</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Support staff in returning learners to learning by sitting in on reparation meetings and supporting staff in conversations</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Regularly celebrate staff and learners whose efforts go above and beyond expectations</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Encourage use of Positive Notes and Positive Phone Calls</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Ensure staff training needs are identified and targeted</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Regularly share good practice</w:t>
      </w:r>
    </w:p>
    <w:p w:rsidR="00B4156B" w:rsidRPr="00966962" w:rsidRDefault="00B4156B" w:rsidP="00B4156B">
      <w:pPr>
        <w:pStyle w:val="ListParagraph"/>
        <w:numPr>
          <w:ilvl w:val="0"/>
          <w:numId w:val="20"/>
        </w:numPr>
        <w:spacing w:after="160"/>
        <w:jc w:val="both"/>
        <w:rPr>
          <w:rFonts w:ascii="Century Gothic" w:hAnsi="Century Gothic"/>
        </w:rPr>
      </w:pPr>
      <w:r w:rsidRPr="00966962">
        <w:rPr>
          <w:rFonts w:ascii="Century Gothic" w:hAnsi="Century Gothic"/>
        </w:rPr>
        <w:t>Review provision for learners who fall beyond the range of written policies</w:t>
      </w:r>
    </w:p>
    <w:p w:rsidR="00B4156B" w:rsidRPr="00966962" w:rsidRDefault="00B4156B" w:rsidP="00B4156B">
      <w:pPr>
        <w:jc w:val="both"/>
        <w:rPr>
          <w:rFonts w:ascii="Century Gothic" w:hAnsi="Century Gothic"/>
        </w:rPr>
      </w:pPr>
    </w:p>
    <w:p w:rsidR="00B4156B" w:rsidRPr="00966962" w:rsidRDefault="00B4156B" w:rsidP="00B4156B">
      <w:pPr>
        <w:jc w:val="both"/>
        <w:rPr>
          <w:rFonts w:ascii="Century Gothic" w:hAnsi="Century Gothic"/>
          <w:u w:val="single"/>
        </w:rPr>
      </w:pPr>
      <w:r w:rsidRPr="00966962">
        <w:rPr>
          <w:rFonts w:ascii="Century Gothic" w:hAnsi="Century Gothic"/>
          <w:u w:val="single"/>
        </w:rPr>
        <w:lastRenderedPageBreak/>
        <w:t>Recognition and Rewards for Effort</w:t>
      </w:r>
    </w:p>
    <w:p w:rsidR="00B4156B" w:rsidRPr="00966962" w:rsidRDefault="00B4156B" w:rsidP="00B4156B">
      <w:pPr>
        <w:jc w:val="both"/>
        <w:rPr>
          <w:rFonts w:ascii="Century Gothic" w:hAnsi="Century Gothic"/>
        </w:rPr>
      </w:pPr>
      <w:r w:rsidRPr="00966962">
        <w:rPr>
          <w:rFonts w:ascii="Century Gothic" w:hAnsi="Century Gothic"/>
        </w:rPr>
        <w:t>We recognise and reward learners who go ‘over and above’ our standards. Although there are tiered awards, our staff understand that a quiet word of personal praise can be as effective as a larger, more public, reward.</w:t>
      </w:r>
    </w:p>
    <w:p w:rsidR="00B4156B" w:rsidRPr="00966962" w:rsidRDefault="00B4156B" w:rsidP="00B4156B">
      <w:pPr>
        <w:jc w:val="both"/>
        <w:rPr>
          <w:rFonts w:ascii="Century Gothic" w:hAnsi="Century Gothic"/>
        </w:rPr>
      </w:pPr>
      <w:r w:rsidRPr="00966962">
        <w:rPr>
          <w:rFonts w:ascii="Century Gothic" w:hAnsi="Century Gothic"/>
        </w:rPr>
        <w:t>The use of praise in developing a positive atmosphere in the classroom cannot be underestimated. It is key to developing positive relationships, including with those children who are hardest to reach.</w:t>
      </w:r>
    </w:p>
    <w:p w:rsidR="00B4156B" w:rsidRPr="00966962" w:rsidRDefault="00B4156B" w:rsidP="00B4156B">
      <w:pPr>
        <w:jc w:val="both"/>
        <w:rPr>
          <w:rFonts w:ascii="Century Gothic" w:hAnsi="Century Gothic"/>
        </w:rPr>
      </w:pPr>
      <w:r w:rsidRPr="00966962">
        <w:rPr>
          <w:rFonts w:ascii="Century Gothic" w:hAnsi="Century Gothic"/>
        </w:rPr>
        <w:t>Some of the more common rewards used are:</w:t>
      </w:r>
    </w:p>
    <w:p w:rsidR="00B4156B" w:rsidRPr="00966962" w:rsidRDefault="00B4156B" w:rsidP="00B4156B">
      <w:pPr>
        <w:pStyle w:val="ListParagraph"/>
        <w:numPr>
          <w:ilvl w:val="0"/>
          <w:numId w:val="19"/>
        </w:numPr>
        <w:spacing w:after="160"/>
        <w:jc w:val="both"/>
        <w:rPr>
          <w:rFonts w:ascii="Century Gothic" w:hAnsi="Century Gothic"/>
        </w:rPr>
      </w:pPr>
      <w:r w:rsidRPr="00966962">
        <w:rPr>
          <w:rFonts w:ascii="Century Gothic" w:hAnsi="Century Gothic"/>
        </w:rPr>
        <w:t>Verbal praise</w:t>
      </w:r>
    </w:p>
    <w:p w:rsidR="00B4156B" w:rsidRPr="00966962" w:rsidRDefault="00B4156B" w:rsidP="00B4156B">
      <w:pPr>
        <w:pStyle w:val="ListParagraph"/>
        <w:numPr>
          <w:ilvl w:val="0"/>
          <w:numId w:val="19"/>
        </w:numPr>
        <w:spacing w:after="160"/>
        <w:jc w:val="both"/>
        <w:rPr>
          <w:rFonts w:ascii="Century Gothic" w:hAnsi="Century Gothic"/>
        </w:rPr>
      </w:pPr>
      <w:r w:rsidRPr="00966962">
        <w:rPr>
          <w:rFonts w:ascii="Century Gothic" w:hAnsi="Century Gothic"/>
        </w:rPr>
        <w:t>Visible rewards (for example, stamps, stickers and certificates)</w:t>
      </w:r>
    </w:p>
    <w:p w:rsidR="00B4156B" w:rsidRPr="00966962" w:rsidRDefault="00B4156B" w:rsidP="00B4156B">
      <w:pPr>
        <w:pStyle w:val="ListParagraph"/>
        <w:numPr>
          <w:ilvl w:val="0"/>
          <w:numId w:val="19"/>
        </w:numPr>
        <w:spacing w:after="160"/>
        <w:jc w:val="both"/>
        <w:rPr>
          <w:rFonts w:ascii="Century Gothic" w:hAnsi="Century Gothic"/>
        </w:rPr>
      </w:pPr>
      <w:r w:rsidRPr="00966962">
        <w:rPr>
          <w:rFonts w:ascii="Century Gothic" w:hAnsi="Century Gothic"/>
        </w:rPr>
        <w:t>Awards to stick in individual Learning Journeys</w:t>
      </w:r>
    </w:p>
    <w:p w:rsidR="00B4156B" w:rsidRPr="00C35939" w:rsidRDefault="00B4156B" w:rsidP="00B4156B">
      <w:pPr>
        <w:pStyle w:val="ListParagraph"/>
        <w:numPr>
          <w:ilvl w:val="0"/>
          <w:numId w:val="19"/>
        </w:numPr>
        <w:spacing w:after="160"/>
        <w:jc w:val="both"/>
        <w:rPr>
          <w:rFonts w:ascii="Century Gothic" w:hAnsi="Century Gothic"/>
        </w:rPr>
      </w:pPr>
      <w:r w:rsidRPr="00966962">
        <w:rPr>
          <w:rFonts w:ascii="Century Gothic" w:hAnsi="Century Gothic"/>
        </w:rPr>
        <w:t>Achieving extra clan points</w:t>
      </w:r>
    </w:p>
    <w:p w:rsidR="00B4156B" w:rsidRPr="00966962" w:rsidRDefault="00C35939" w:rsidP="00B4156B">
      <w:pPr>
        <w:jc w:val="both"/>
        <w:rPr>
          <w:rFonts w:ascii="Century Gothic" w:hAnsi="Century Gothic"/>
          <w:u w:val="single"/>
        </w:rPr>
      </w:pPr>
      <w:r>
        <w:rPr>
          <w:rFonts w:ascii="Century Gothic" w:hAnsi="Century Gothic"/>
          <w:u w:val="single"/>
        </w:rPr>
        <w:t>Supporting Positive</w:t>
      </w:r>
      <w:r w:rsidR="00B4156B" w:rsidRPr="00966962">
        <w:rPr>
          <w:rFonts w:ascii="Century Gothic" w:hAnsi="Century Gothic"/>
          <w:u w:val="single"/>
        </w:rPr>
        <w:t xml:space="preserve"> Behaviour</w:t>
      </w:r>
      <w:r>
        <w:rPr>
          <w:rFonts w:ascii="Century Gothic" w:hAnsi="Century Gothic"/>
          <w:u w:val="single"/>
        </w:rPr>
        <w:t>s</w:t>
      </w:r>
    </w:p>
    <w:p w:rsidR="00B4156B" w:rsidRPr="00966962" w:rsidRDefault="00B4156B" w:rsidP="00B4156B">
      <w:pPr>
        <w:jc w:val="both"/>
        <w:rPr>
          <w:rFonts w:ascii="Century Gothic" w:hAnsi="Century Gothic"/>
        </w:rPr>
      </w:pPr>
      <w:r w:rsidRPr="00966962">
        <w:rPr>
          <w:rFonts w:ascii="Century Gothic" w:hAnsi="Century Gothic"/>
        </w:rPr>
        <w:t>Our primary aim is to</w:t>
      </w:r>
      <w:r w:rsidR="00C35939">
        <w:rPr>
          <w:rFonts w:ascii="Century Gothic" w:hAnsi="Century Gothic"/>
        </w:rPr>
        <w:t xml:space="preserve"> enable engagement in </w:t>
      </w:r>
      <w:r w:rsidR="00021794">
        <w:rPr>
          <w:rFonts w:ascii="Century Gothic" w:hAnsi="Century Gothic"/>
        </w:rPr>
        <w:t>learning</w:t>
      </w:r>
      <w:r w:rsidRPr="00966962">
        <w:rPr>
          <w:rFonts w:ascii="Century Gothic" w:hAnsi="Century Gothic"/>
        </w:rPr>
        <w:t xml:space="preserve"> for all children. For the vast majority of learners a gentle reminder or nudge in the right direction is all that is needed. Although there are some occasions when it is necessary for a child to leave their classroom for a short period of time, this should be considered the exception. Steps should always be gone through with care and consideration, taking individual needs into account where necessary. We will always seek to praise the behaviour we want to see and try not to give attention to poor behaviour. All learners must be given ‘take up time’ in between steps. It is not possible to leap or accelerate steps for repeated low-level disruption.</w:t>
      </w:r>
    </w:p>
    <w:p w:rsidR="00B4156B" w:rsidRPr="00966962" w:rsidRDefault="00B4156B" w:rsidP="00B4156B">
      <w:pPr>
        <w:jc w:val="both"/>
        <w:rPr>
          <w:rFonts w:ascii="Century Gothic" w:hAnsi="Century Gothic"/>
          <w:u w:val="single"/>
        </w:rPr>
      </w:pPr>
      <w:r w:rsidRPr="00966962">
        <w:rPr>
          <w:rFonts w:ascii="Century Gothic" w:hAnsi="Century Gothic"/>
          <w:u w:val="single"/>
        </w:rPr>
        <w:t>Practical steps in managing and modifying poor behaviour</w:t>
      </w:r>
    </w:p>
    <w:p w:rsidR="00B4156B" w:rsidRPr="00966962" w:rsidRDefault="00B4156B" w:rsidP="00B4156B">
      <w:pPr>
        <w:jc w:val="both"/>
        <w:rPr>
          <w:rFonts w:ascii="Century Gothic" w:hAnsi="Century Gothic"/>
        </w:rPr>
      </w:pPr>
      <w:r w:rsidRPr="00966962">
        <w:rPr>
          <w:rFonts w:ascii="Century Gothic" w:hAnsi="Century Gothic"/>
        </w:rPr>
        <w:t>Children are held responsible for their behaviour. All adults will deal with behaviour without delegating. All adults will use the following steps for dealing with poor conduct.</w:t>
      </w:r>
    </w:p>
    <w:tbl>
      <w:tblPr>
        <w:tblStyle w:val="TableGrid"/>
        <w:tblW w:w="0" w:type="auto"/>
        <w:tblLook w:val="04A0" w:firstRow="1" w:lastRow="0" w:firstColumn="1" w:lastColumn="0" w:noHBand="0" w:noVBand="1"/>
      </w:tblPr>
      <w:tblGrid>
        <w:gridCol w:w="2689"/>
        <w:gridCol w:w="6327"/>
      </w:tblGrid>
      <w:tr w:rsidR="00B4156B" w:rsidRPr="00966962" w:rsidTr="00807B47">
        <w:tc>
          <w:tcPr>
            <w:tcW w:w="2689" w:type="dxa"/>
          </w:tcPr>
          <w:p w:rsidR="00B4156B" w:rsidRPr="00966962" w:rsidRDefault="00B4156B" w:rsidP="00B4156B">
            <w:pPr>
              <w:spacing w:line="276" w:lineRule="auto"/>
              <w:jc w:val="both"/>
              <w:rPr>
                <w:rFonts w:ascii="Century Gothic" w:hAnsi="Century Gothic"/>
                <w:b/>
              </w:rPr>
            </w:pPr>
            <w:r w:rsidRPr="00966962">
              <w:rPr>
                <w:rFonts w:ascii="Century Gothic" w:hAnsi="Century Gothic"/>
                <w:b/>
              </w:rPr>
              <w:t>Steps</w:t>
            </w:r>
          </w:p>
        </w:tc>
        <w:tc>
          <w:tcPr>
            <w:tcW w:w="6327" w:type="dxa"/>
          </w:tcPr>
          <w:p w:rsidR="00B4156B" w:rsidRPr="00966962" w:rsidRDefault="00B4156B" w:rsidP="00B4156B">
            <w:pPr>
              <w:spacing w:line="276" w:lineRule="auto"/>
              <w:jc w:val="both"/>
              <w:rPr>
                <w:rFonts w:ascii="Century Gothic" w:hAnsi="Century Gothic"/>
                <w:b/>
              </w:rPr>
            </w:pPr>
            <w:r w:rsidRPr="00966962">
              <w:rPr>
                <w:rFonts w:ascii="Century Gothic" w:hAnsi="Century Gothic"/>
                <w:b/>
              </w:rPr>
              <w:t>Actions</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Redirection</w:t>
            </w:r>
          </w:p>
        </w:tc>
        <w:tc>
          <w:tcPr>
            <w:tcW w:w="6327" w:type="dxa"/>
          </w:tcPr>
          <w:p w:rsidR="00B4156B" w:rsidRPr="00966962" w:rsidRDefault="00B4156B" w:rsidP="00B4156B">
            <w:pPr>
              <w:spacing w:line="276" w:lineRule="auto"/>
              <w:jc w:val="both"/>
              <w:rPr>
                <w:rFonts w:ascii="Century Gothic" w:hAnsi="Century Gothic"/>
              </w:rPr>
            </w:pPr>
            <w:r w:rsidRPr="00966962">
              <w:rPr>
                <w:rFonts w:ascii="Century Gothic" w:hAnsi="Century Gothic"/>
              </w:rPr>
              <w:t>Gentle encouragement, a ‘nudge’ in the right direction, quick checks, small act of kindness</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Reminder</w:t>
            </w:r>
          </w:p>
        </w:tc>
        <w:tc>
          <w:tcPr>
            <w:tcW w:w="6327" w:type="dxa"/>
          </w:tcPr>
          <w:p w:rsidR="00B4156B" w:rsidRPr="00966962" w:rsidRDefault="00B4156B" w:rsidP="00B4156B">
            <w:pPr>
              <w:spacing w:line="276" w:lineRule="auto"/>
              <w:jc w:val="both"/>
              <w:rPr>
                <w:rFonts w:ascii="Century Gothic" w:hAnsi="Century Gothic"/>
              </w:rPr>
            </w:pPr>
            <w:r w:rsidRPr="00966962">
              <w:rPr>
                <w:rFonts w:ascii="Century Gothic" w:hAnsi="Century Gothic"/>
              </w:rPr>
              <w:t xml:space="preserve">A reminder of the expectations - Ready to learn, Safe and Respectful delivered privately wherever possible. Repeat reminders if necessary. Deescalate and decelerate where reasonable and possible and take the initiative to keep things at this stage. </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Caution</w:t>
            </w:r>
          </w:p>
        </w:tc>
        <w:tc>
          <w:tcPr>
            <w:tcW w:w="6327" w:type="dxa"/>
          </w:tcPr>
          <w:p w:rsidR="00B4156B" w:rsidRPr="00966962" w:rsidRDefault="00B4156B" w:rsidP="00B4156B">
            <w:pPr>
              <w:spacing w:line="276" w:lineRule="auto"/>
              <w:jc w:val="both"/>
              <w:rPr>
                <w:rFonts w:ascii="Century Gothic" w:hAnsi="Century Gothic"/>
              </w:rPr>
            </w:pPr>
            <w:r w:rsidRPr="00966962">
              <w:rPr>
                <w:rFonts w:ascii="Century Gothic" w:hAnsi="Century Gothic"/>
              </w:rPr>
              <w:t>A clear verbal caution delivered privately wherever possible, making the learner aware of their behaviour and clearly outlining the consequences if they continue.</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Time Out</w:t>
            </w:r>
          </w:p>
        </w:tc>
        <w:tc>
          <w:tcPr>
            <w:tcW w:w="6327" w:type="dxa"/>
          </w:tcPr>
          <w:p w:rsidR="00B4156B" w:rsidRDefault="00B4156B" w:rsidP="00B4156B">
            <w:pPr>
              <w:spacing w:line="276" w:lineRule="auto"/>
              <w:jc w:val="both"/>
              <w:rPr>
                <w:rFonts w:ascii="Century Gothic" w:hAnsi="Century Gothic"/>
              </w:rPr>
            </w:pPr>
            <w:r w:rsidRPr="00966962">
              <w:rPr>
                <w:rFonts w:ascii="Century Gothic" w:hAnsi="Century Gothic"/>
              </w:rPr>
              <w:t>Give the learner a chance to reflect away from others.</w:t>
            </w:r>
            <w:r w:rsidR="000875C4">
              <w:rPr>
                <w:rFonts w:ascii="Century Gothic" w:hAnsi="Century Gothic"/>
              </w:rPr>
              <w:t xml:space="preserve"> This should be no more than 5 minutes.</w:t>
            </w:r>
            <w:r w:rsidRPr="00966962">
              <w:rPr>
                <w:rFonts w:ascii="Century Gothic" w:hAnsi="Century Gothic"/>
              </w:rPr>
              <w:t xml:space="preserve"> Speak to the learner privately and give them a final opportunity to engage. Offer a positive choice to do so.</w:t>
            </w:r>
          </w:p>
          <w:p w:rsidR="000875C4" w:rsidRPr="00966962" w:rsidRDefault="000875C4" w:rsidP="00B4156B">
            <w:pPr>
              <w:spacing w:line="276" w:lineRule="auto"/>
              <w:jc w:val="both"/>
              <w:rPr>
                <w:rFonts w:ascii="Century Gothic" w:hAnsi="Century Gothic"/>
              </w:rPr>
            </w:pPr>
            <w:r>
              <w:rPr>
                <w:rFonts w:ascii="Century Gothic" w:hAnsi="Century Gothic"/>
              </w:rPr>
              <w:t xml:space="preserve">If this happens a second time, move to step 5. </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lastRenderedPageBreak/>
              <w:t>Internal Referral</w:t>
            </w:r>
          </w:p>
        </w:tc>
        <w:tc>
          <w:tcPr>
            <w:tcW w:w="6327" w:type="dxa"/>
          </w:tcPr>
          <w:p w:rsidR="00B4156B" w:rsidRDefault="00B4156B" w:rsidP="00B4156B">
            <w:pPr>
              <w:spacing w:line="276" w:lineRule="auto"/>
              <w:jc w:val="both"/>
              <w:rPr>
                <w:rFonts w:ascii="Century Gothic" w:hAnsi="Century Gothic"/>
              </w:rPr>
            </w:pPr>
            <w:r w:rsidRPr="00966962">
              <w:rPr>
                <w:rFonts w:ascii="Century Gothic" w:hAnsi="Century Gothic"/>
              </w:rPr>
              <w:t>At this point the learner will be referred internally to another room for the remainder of the lesson. All internal referrals must be recorded.</w:t>
            </w:r>
          </w:p>
          <w:p w:rsidR="000875C4" w:rsidRPr="00966962" w:rsidRDefault="000875C4" w:rsidP="00B4156B">
            <w:pPr>
              <w:spacing w:line="276" w:lineRule="auto"/>
              <w:jc w:val="both"/>
              <w:rPr>
                <w:rFonts w:ascii="Century Gothic" w:hAnsi="Century Gothic"/>
              </w:rPr>
            </w:pPr>
            <w:r>
              <w:rPr>
                <w:rFonts w:ascii="Century Gothic" w:hAnsi="Century Gothic"/>
              </w:rPr>
              <w:t>During this time children either take their own classwork or complete a reflective task.</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Reparation</w:t>
            </w:r>
          </w:p>
        </w:tc>
        <w:tc>
          <w:tcPr>
            <w:tcW w:w="6327" w:type="dxa"/>
          </w:tcPr>
          <w:p w:rsidR="00B4156B" w:rsidRPr="00966962" w:rsidRDefault="00B4156B" w:rsidP="00B4156B">
            <w:pPr>
              <w:spacing w:line="276" w:lineRule="auto"/>
              <w:jc w:val="both"/>
              <w:rPr>
                <w:rFonts w:ascii="Century Gothic" w:hAnsi="Century Gothic"/>
              </w:rPr>
            </w:pPr>
            <w:r w:rsidRPr="00966962">
              <w:rPr>
                <w:rFonts w:ascii="Century Gothic" w:hAnsi="Century Gothic"/>
              </w:rPr>
              <w:t>A restorative meeting should take place before the next lesson. If the learner does not attend or the reconciliation is not successful the teacher should call on support from middle or senior leaders who will support the reparation process.</w:t>
            </w:r>
            <w:r w:rsidR="000875C4">
              <w:rPr>
                <w:rFonts w:ascii="Century Gothic" w:hAnsi="Century Gothic"/>
              </w:rPr>
              <w:t xml:space="preserve"> Restorative scripts should be used. </w:t>
            </w:r>
          </w:p>
        </w:tc>
      </w:tr>
      <w:tr w:rsidR="00B4156B" w:rsidRPr="00966962" w:rsidTr="00807B47">
        <w:tc>
          <w:tcPr>
            <w:tcW w:w="2689" w:type="dxa"/>
          </w:tcPr>
          <w:p w:rsidR="00B4156B" w:rsidRPr="00966962" w:rsidRDefault="00B4156B" w:rsidP="00B4156B">
            <w:pPr>
              <w:pStyle w:val="ListParagraph"/>
              <w:numPr>
                <w:ilvl w:val="0"/>
                <w:numId w:val="21"/>
              </w:numPr>
              <w:spacing w:line="276" w:lineRule="auto"/>
              <w:jc w:val="both"/>
              <w:rPr>
                <w:rFonts w:ascii="Century Gothic" w:hAnsi="Century Gothic"/>
              </w:rPr>
            </w:pPr>
            <w:r w:rsidRPr="00966962">
              <w:rPr>
                <w:rFonts w:ascii="Century Gothic" w:hAnsi="Century Gothic"/>
              </w:rPr>
              <w:t>Formal Meeting</w:t>
            </w:r>
          </w:p>
        </w:tc>
        <w:tc>
          <w:tcPr>
            <w:tcW w:w="6327" w:type="dxa"/>
          </w:tcPr>
          <w:p w:rsidR="00B4156B" w:rsidRPr="00966962" w:rsidRDefault="00B4156B" w:rsidP="00B4156B">
            <w:pPr>
              <w:spacing w:line="276" w:lineRule="auto"/>
              <w:jc w:val="both"/>
              <w:rPr>
                <w:rFonts w:ascii="Century Gothic" w:hAnsi="Century Gothic"/>
              </w:rPr>
            </w:pPr>
            <w:r w:rsidRPr="00966962">
              <w:rPr>
                <w:rFonts w:ascii="Century Gothic" w:hAnsi="Century Gothic"/>
              </w:rPr>
              <w:t>A meeting with the teacher, learner and middle/senior leader, recorded with agreed targets that will be monitored over the course of two weeks.</w:t>
            </w:r>
          </w:p>
        </w:tc>
      </w:tr>
    </w:tbl>
    <w:p w:rsidR="00B4156B" w:rsidRDefault="00B4156B" w:rsidP="00B4156B">
      <w:pPr>
        <w:rPr>
          <w:rFonts w:ascii="Berlin Sans FB" w:hAnsi="Berlin Sans FB"/>
        </w:rPr>
      </w:pPr>
    </w:p>
    <w:p w:rsidR="006B627F" w:rsidRPr="00966962" w:rsidRDefault="006B627F" w:rsidP="00B4156B">
      <w:pPr>
        <w:rPr>
          <w:rFonts w:ascii="Berlin Sans FB" w:hAnsi="Berlin Sans FB"/>
        </w:rPr>
      </w:pPr>
    </w:p>
    <w:p w:rsidR="004E1BA3" w:rsidRDefault="004E1BA3" w:rsidP="00DB3433">
      <w:pPr>
        <w:jc w:val="both"/>
        <w:rPr>
          <w:rFonts w:ascii="Arial" w:hAnsi="Arial" w:cs="Arial"/>
        </w:rPr>
      </w:pPr>
    </w:p>
    <w:p w:rsidR="00FA4146" w:rsidRPr="007B7C71" w:rsidRDefault="00FA4146" w:rsidP="00DB3433">
      <w:pPr>
        <w:jc w:val="both"/>
        <w:rPr>
          <w:rFonts w:ascii="Century Gothic" w:hAnsi="Century Gothic" w:cs="Arial"/>
          <w:b/>
        </w:rPr>
      </w:pPr>
      <w:r w:rsidRPr="007B7C71">
        <w:rPr>
          <w:rFonts w:ascii="Century Gothic" w:hAnsi="Century Gothic" w:cs="Arial"/>
          <w:b/>
        </w:rPr>
        <w:t>Anti-bullying</w:t>
      </w:r>
    </w:p>
    <w:p w:rsidR="00D562BA" w:rsidRDefault="00D562BA" w:rsidP="001C5F36">
      <w:pPr>
        <w:rPr>
          <w:rFonts w:ascii="Century Gothic" w:hAnsi="Century Gothic"/>
        </w:rPr>
      </w:pPr>
      <w:r w:rsidRPr="00D562BA">
        <w:rPr>
          <w:rFonts w:ascii="Century Gothic" w:hAnsi="Century Gothic"/>
        </w:rPr>
        <w:t>Here at Dunoon Primary School,</w:t>
      </w:r>
      <w:r>
        <w:rPr>
          <w:rFonts w:ascii="Century Gothic" w:hAnsi="Century Gothic"/>
        </w:rPr>
        <w:t xml:space="preserve"> our values are respect, ambition, honesty, perseverance</w:t>
      </w:r>
      <w:r w:rsidRPr="00D562BA">
        <w:rPr>
          <w:rFonts w:ascii="Century Gothic" w:hAnsi="Century Gothic"/>
        </w:rPr>
        <w:t xml:space="preserve"> and </w:t>
      </w:r>
      <w:r>
        <w:rPr>
          <w:rFonts w:ascii="Century Gothic" w:hAnsi="Century Gothic"/>
        </w:rPr>
        <w:t xml:space="preserve">integrity. </w:t>
      </w:r>
      <w:r w:rsidRPr="00D562BA">
        <w:rPr>
          <w:rFonts w:ascii="Century Gothic" w:hAnsi="Century Gothic"/>
        </w:rPr>
        <w:t>We understand that bullying</w:t>
      </w:r>
      <w:r>
        <w:rPr>
          <w:rFonts w:ascii="Century Gothic" w:hAnsi="Century Gothic"/>
        </w:rPr>
        <w:t xml:space="preserve"> behaviour</w:t>
      </w:r>
      <w:r w:rsidRPr="00D562BA">
        <w:rPr>
          <w:rFonts w:ascii="Century Gothic" w:hAnsi="Century Gothic"/>
        </w:rPr>
        <w:t xml:space="preserve"> is never acceptable and that children and young people have the right to learn in a safe, secure environment.</w:t>
      </w:r>
      <w:r>
        <w:rPr>
          <w:rFonts w:ascii="Century Gothic" w:hAnsi="Century Gothic"/>
        </w:rPr>
        <w:t xml:space="preserve"> Our school’s definition of bullying and types of bullying behaviours are in accordance with Argyll &amp; Bute’s policy detailed below. </w:t>
      </w:r>
    </w:p>
    <w:p w:rsidR="006B627F" w:rsidRDefault="006B627F" w:rsidP="001C5F36">
      <w:pPr>
        <w:rPr>
          <w:rFonts w:ascii="Century Gothic" w:hAnsi="Century Gothic"/>
        </w:rPr>
      </w:pPr>
      <w:r w:rsidRPr="006B627F">
        <w:rPr>
          <w:rFonts w:ascii="Century Gothic" w:hAnsi="Century Gothic"/>
        </w:rPr>
        <w:t xml:space="preserve">The Equality Act, 2010 supports progress on equality, particularly in relation to nine protected characteristics, which are: </w:t>
      </w:r>
    </w:p>
    <w:p w:rsidR="006B627F" w:rsidRDefault="006B627F" w:rsidP="001C5F36">
      <w:pPr>
        <w:rPr>
          <w:rFonts w:ascii="Century Gothic" w:hAnsi="Century Gothic"/>
        </w:rPr>
      </w:pPr>
      <w:r w:rsidRPr="006B627F">
        <w:rPr>
          <w:rFonts w:ascii="Century Gothic" w:hAnsi="Century Gothic"/>
        </w:rPr>
        <w:t xml:space="preserve">Age </w:t>
      </w:r>
    </w:p>
    <w:p w:rsidR="006B627F" w:rsidRDefault="006B627F" w:rsidP="001C5F36">
      <w:pPr>
        <w:rPr>
          <w:rFonts w:ascii="Century Gothic" w:hAnsi="Century Gothic"/>
        </w:rPr>
      </w:pPr>
      <w:r w:rsidRPr="006B627F">
        <w:rPr>
          <w:rFonts w:ascii="Century Gothic" w:hAnsi="Century Gothic"/>
        </w:rPr>
        <w:t>Dis</w:t>
      </w:r>
      <w:r>
        <w:rPr>
          <w:rFonts w:ascii="Century Gothic" w:hAnsi="Century Gothic"/>
        </w:rPr>
        <w:t xml:space="preserve">ability </w:t>
      </w:r>
    </w:p>
    <w:p w:rsidR="006B627F" w:rsidRDefault="006B627F" w:rsidP="001C5F36">
      <w:pPr>
        <w:rPr>
          <w:rFonts w:ascii="Century Gothic" w:hAnsi="Century Gothic"/>
        </w:rPr>
      </w:pPr>
      <w:r w:rsidRPr="006B627F">
        <w:rPr>
          <w:rFonts w:ascii="Century Gothic" w:hAnsi="Century Gothic"/>
        </w:rPr>
        <w:t xml:space="preserve">Gender reassignment </w:t>
      </w:r>
    </w:p>
    <w:p w:rsidR="006B627F" w:rsidRDefault="006B627F" w:rsidP="001C5F36">
      <w:pPr>
        <w:rPr>
          <w:rFonts w:ascii="Century Gothic" w:hAnsi="Century Gothic"/>
        </w:rPr>
      </w:pPr>
      <w:r w:rsidRPr="006B627F">
        <w:rPr>
          <w:rFonts w:ascii="Century Gothic" w:hAnsi="Century Gothic"/>
        </w:rPr>
        <w:t xml:space="preserve">Marriage and civil partnership </w:t>
      </w:r>
    </w:p>
    <w:p w:rsidR="006B627F" w:rsidRDefault="006B627F" w:rsidP="001C5F36">
      <w:pPr>
        <w:rPr>
          <w:rFonts w:ascii="Century Gothic" w:hAnsi="Century Gothic"/>
        </w:rPr>
      </w:pPr>
      <w:r w:rsidRPr="006B627F">
        <w:rPr>
          <w:rFonts w:ascii="Century Gothic" w:hAnsi="Century Gothic"/>
        </w:rPr>
        <w:t xml:space="preserve">Pregnancy and civil partnership </w:t>
      </w:r>
    </w:p>
    <w:p w:rsidR="006B627F" w:rsidRDefault="006B627F" w:rsidP="001C5F36">
      <w:pPr>
        <w:rPr>
          <w:rFonts w:ascii="Century Gothic" w:hAnsi="Century Gothic"/>
        </w:rPr>
      </w:pPr>
      <w:r w:rsidRPr="006B627F">
        <w:rPr>
          <w:rFonts w:ascii="Century Gothic" w:hAnsi="Century Gothic"/>
        </w:rPr>
        <w:t xml:space="preserve">Race </w:t>
      </w:r>
    </w:p>
    <w:p w:rsidR="006B627F" w:rsidRDefault="006B627F" w:rsidP="001C5F36">
      <w:pPr>
        <w:rPr>
          <w:rFonts w:ascii="Century Gothic" w:hAnsi="Century Gothic"/>
        </w:rPr>
      </w:pPr>
      <w:r w:rsidRPr="006B627F">
        <w:rPr>
          <w:rFonts w:ascii="Century Gothic" w:hAnsi="Century Gothic"/>
        </w:rPr>
        <w:t xml:space="preserve">Religion or belief </w:t>
      </w:r>
    </w:p>
    <w:p w:rsidR="006B627F" w:rsidRDefault="006B627F" w:rsidP="001C5F36">
      <w:pPr>
        <w:rPr>
          <w:rFonts w:ascii="Century Gothic" w:hAnsi="Century Gothic"/>
        </w:rPr>
      </w:pPr>
      <w:r w:rsidRPr="006B627F">
        <w:rPr>
          <w:rFonts w:ascii="Century Gothic" w:hAnsi="Century Gothic"/>
        </w:rPr>
        <w:t xml:space="preserve">Sex  </w:t>
      </w:r>
    </w:p>
    <w:p w:rsidR="006B627F" w:rsidRDefault="006B627F" w:rsidP="001C5F36">
      <w:pPr>
        <w:rPr>
          <w:rFonts w:ascii="Century Gothic" w:hAnsi="Century Gothic"/>
        </w:rPr>
      </w:pPr>
      <w:r w:rsidRPr="006B627F">
        <w:rPr>
          <w:rFonts w:ascii="Century Gothic" w:hAnsi="Century Gothic"/>
        </w:rPr>
        <w:t xml:space="preserve">Sexual orientation. </w:t>
      </w:r>
    </w:p>
    <w:p w:rsidR="001C5F36" w:rsidRPr="00AA2D0C" w:rsidRDefault="00AA2D0C" w:rsidP="001C5F36">
      <w:pPr>
        <w:rPr>
          <w:rFonts w:ascii="Century Gothic" w:hAnsi="Century Gothic"/>
          <w:b/>
        </w:rPr>
      </w:pPr>
      <w:r>
        <w:rPr>
          <w:rFonts w:ascii="Century Gothic" w:hAnsi="Century Gothic"/>
        </w:rPr>
        <w:t>We take guidance from Respect</w:t>
      </w:r>
      <w:r w:rsidR="00704EA4">
        <w:rPr>
          <w:rFonts w:ascii="Century Gothic" w:hAnsi="Century Gothic"/>
        </w:rPr>
        <w:t xml:space="preserve"> </w:t>
      </w:r>
      <w:r>
        <w:rPr>
          <w:rFonts w:ascii="Century Gothic" w:hAnsi="Century Gothic"/>
        </w:rPr>
        <w:t xml:space="preserve">Me: Scotland’s Anti-Bullying Service and adhere to Argyll &amp; Bute’s Anti-Bullying Policy. Both of these documents are accessible through the links below. We ensure everyone uses the correct language around this area, talking about the behaviours as opposed to the child displaying the behaviours. </w:t>
      </w:r>
      <w:r w:rsidR="00704EA4">
        <w:rPr>
          <w:rFonts w:ascii="Century Gothic" w:hAnsi="Century Gothic"/>
        </w:rPr>
        <w:t xml:space="preserve">We would </w:t>
      </w:r>
      <w:r w:rsidR="00704EA4">
        <w:rPr>
          <w:rFonts w:ascii="Century Gothic" w:hAnsi="Century Gothic"/>
        </w:rPr>
        <w:lastRenderedPageBreak/>
        <w:t>refer to the person displaying bullying behaviours or experiencing bullying behaviour, rather than using terms such as ‘bully’ or ‘victim’.</w:t>
      </w:r>
    </w:p>
    <w:p w:rsidR="001C5F36" w:rsidRPr="00AA2D0C" w:rsidRDefault="001C5F36" w:rsidP="00DB3433">
      <w:pPr>
        <w:jc w:val="both"/>
        <w:rPr>
          <w:rFonts w:ascii="Century Gothic" w:hAnsi="Century Gothic" w:cs="Arial"/>
        </w:rPr>
      </w:pPr>
    </w:p>
    <w:p w:rsidR="00FA4146" w:rsidRDefault="00C50E9F" w:rsidP="00DB3433">
      <w:pPr>
        <w:jc w:val="both"/>
      </w:pPr>
      <w:hyperlink r:id="rId7" w:anchor=":~:text=%28Argyll%20and%20Bute%20Council%20Equality%20Outcomes%2C%202019%20to,preventing%20bullying%20from%20Early%20Learning%20and%20Childcare%20onwards." w:history="1">
        <w:proofErr w:type="gramStart"/>
        <w:r w:rsidR="00FA4146">
          <w:rPr>
            <w:rStyle w:val="Hyperlink"/>
          </w:rPr>
          <w:t>anti-bullying_policy_july_2019.pdf</w:t>
        </w:r>
        <w:proofErr w:type="gramEnd"/>
        <w:r w:rsidR="00FA4146">
          <w:rPr>
            <w:rStyle w:val="Hyperlink"/>
          </w:rPr>
          <w:t xml:space="preserve"> (argyll-bute.gov.uk)</w:t>
        </w:r>
      </w:hyperlink>
    </w:p>
    <w:p w:rsidR="00AA2D0C" w:rsidRDefault="00C50E9F" w:rsidP="00DB3433">
      <w:pPr>
        <w:jc w:val="both"/>
      </w:pPr>
      <w:hyperlink r:id="rId8" w:history="1">
        <w:proofErr w:type="spellStart"/>
        <w:proofErr w:type="gramStart"/>
        <w:r w:rsidR="00AA2D0C">
          <w:rPr>
            <w:rStyle w:val="Hyperlink"/>
          </w:rPr>
          <w:t>respectme</w:t>
        </w:r>
        <w:proofErr w:type="spellEnd"/>
        <w:proofErr w:type="gramEnd"/>
        <w:r w:rsidR="00AA2D0C">
          <w:rPr>
            <w:rStyle w:val="Hyperlink"/>
          </w:rPr>
          <w:t xml:space="preserve"> | Scotland's anti-bullying </w:t>
        </w:r>
        <w:proofErr w:type="spellStart"/>
        <w:r w:rsidR="00AA2D0C">
          <w:rPr>
            <w:rStyle w:val="Hyperlink"/>
          </w:rPr>
          <w:t>servicerespectme</w:t>
        </w:r>
        <w:proofErr w:type="spellEnd"/>
      </w:hyperlink>
    </w:p>
    <w:p w:rsidR="00AA2D0C" w:rsidRDefault="00AA2D0C" w:rsidP="00DB3433">
      <w:pPr>
        <w:jc w:val="both"/>
      </w:pPr>
    </w:p>
    <w:p w:rsidR="001C5F36" w:rsidRDefault="001C5F36" w:rsidP="00DB3433">
      <w:pPr>
        <w:jc w:val="both"/>
      </w:pPr>
    </w:p>
    <w:p w:rsidR="001C5F36" w:rsidRPr="00FA4146" w:rsidRDefault="001C5F36" w:rsidP="00DB3433">
      <w:pPr>
        <w:jc w:val="both"/>
        <w:rPr>
          <w:rFonts w:ascii="Arial" w:hAnsi="Arial" w:cs="Arial"/>
          <w:b/>
        </w:rPr>
      </w:pPr>
    </w:p>
    <w:sectPr w:rsidR="001C5F36" w:rsidRPr="00FA4146" w:rsidSect="00896519">
      <w:pgSz w:w="12240" w:h="15840"/>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F19"/>
    <w:multiLevelType w:val="hybridMultilevel"/>
    <w:tmpl w:val="127E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5772"/>
    <w:multiLevelType w:val="hybridMultilevel"/>
    <w:tmpl w:val="6B30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54A1"/>
    <w:multiLevelType w:val="hybridMultilevel"/>
    <w:tmpl w:val="E41EF6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BF1C0E"/>
    <w:multiLevelType w:val="hybridMultilevel"/>
    <w:tmpl w:val="E48A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41CF5"/>
    <w:multiLevelType w:val="hybridMultilevel"/>
    <w:tmpl w:val="17D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21D2"/>
    <w:multiLevelType w:val="hybridMultilevel"/>
    <w:tmpl w:val="720C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B7783"/>
    <w:multiLevelType w:val="hybridMultilevel"/>
    <w:tmpl w:val="5000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1833"/>
    <w:multiLevelType w:val="hybridMultilevel"/>
    <w:tmpl w:val="0AF6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07683"/>
    <w:multiLevelType w:val="hybridMultilevel"/>
    <w:tmpl w:val="EDFEC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83D67"/>
    <w:multiLevelType w:val="hybridMultilevel"/>
    <w:tmpl w:val="C9184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C1F4B"/>
    <w:multiLevelType w:val="hybridMultilevel"/>
    <w:tmpl w:val="D4B25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763BA"/>
    <w:multiLevelType w:val="hybridMultilevel"/>
    <w:tmpl w:val="4C54B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27BDE"/>
    <w:multiLevelType w:val="hybridMultilevel"/>
    <w:tmpl w:val="5738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C1612"/>
    <w:multiLevelType w:val="hybridMultilevel"/>
    <w:tmpl w:val="B0A40C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AA36069"/>
    <w:multiLevelType w:val="hybridMultilevel"/>
    <w:tmpl w:val="E796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6019C"/>
    <w:multiLevelType w:val="hybridMultilevel"/>
    <w:tmpl w:val="BD00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B736D"/>
    <w:multiLevelType w:val="hybridMultilevel"/>
    <w:tmpl w:val="BD02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663DB"/>
    <w:multiLevelType w:val="hybridMultilevel"/>
    <w:tmpl w:val="1F28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6110D1"/>
    <w:multiLevelType w:val="hybridMultilevel"/>
    <w:tmpl w:val="EDFEC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B47AD"/>
    <w:multiLevelType w:val="hybridMultilevel"/>
    <w:tmpl w:val="FF0E70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B1522D7"/>
    <w:multiLevelType w:val="hybridMultilevel"/>
    <w:tmpl w:val="A64A01C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7FF52708"/>
    <w:multiLevelType w:val="hybridMultilevel"/>
    <w:tmpl w:val="418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13"/>
  </w:num>
  <w:num w:numId="8">
    <w:abstractNumId w:val="2"/>
  </w:num>
  <w:num w:numId="9">
    <w:abstractNumId w:val="15"/>
  </w:num>
  <w:num w:numId="10">
    <w:abstractNumId w:val="19"/>
  </w:num>
  <w:num w:numId="11">
    <w:abstractNumId w:val="17"/>
  </w:num>
  <w:num w:numId="12">
    <w:abstractNumId w:val="21"/>
  </w:num>
  <w:num w:numId="13">
    <w:abstractNumId w:val="9"/>
  </w:num>
  <w:num w:numId="14">
    <w:abstractNumId w:val="4"/>
  </w:num>
  <w:num w:numId="15">
    <w:abstractNumId w:val="5"/>
  </w:num>
  <w:num w:numId="16">
    <w:abstractNumId w:val="11"/>
  </w:num>
  <w:num w:numId="17">
    <w:abstractNumId w:val="16"/>
  </w:num>
  <w:num w:numId="18">
    <w:abstractNumId w:val="7"/>
  </w:num>
  <w:num w:numId="19">
    <w:abstractNumId w:val="0"/>
  </w:num>
  <w:num w:numId="20">
    <w:abstractNumId w:val="12"/>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BE"/>
    <w:rsid w:val="00021794"/>
    <w:rsid w:val="000707D2"/>
    <w:rsid w:val="000875C4"/>
    <w:rsid w:val="000E5EB4"/>
    <w:rsid w:val="001451C4"/>
    <w:rsid w:val="0015467D"/>
    <w:rsid w:val="0016123F"/>
    <w:rsid w:val="001B3147"/>
    <w:rsid w:val="001C5F36"/>
    <w:rsid w:val="001D5E3C"/>
    <w:rsid w:val="0026391A"/>
    <w:rsid w:val="002B71EB"/>
    <w:rsid w:val="0042433A"/>
    <w:rsid w:val="0042686F"/>
    <w:rsid w:val="004B12F9"/>
    <w:rsid w:val="004E1BA3"/>
    <w:rsid w:val="005922BE"/>
    <w:rsid w:val="00653323"/>
    <w:rsid w:val="006B627F"/>
    <w:rsid w:val="00704EA4"/>
    <w:rsid w:val="00741544"/>
    <w:rsid w:val="00750C86"/>
    <w:rsid w:val="007A49F5"/>
    <w:rsid w:val="007B37DC"/>
    <w:rsid w:val="007B7C71"/>
    <w:rsid w:val="007D5559"/>
    <w:rsid w:val="008469A3"/>
    <w:rsid w:val="008544A6"/>
    <w:rsid w:val="00864351"/>
    <w:rsid w:val="00896519"/>
    <w:rsid w:val="008D5C8D"/>
    <w:rsid w:val="00966962"/>
    <w:rsid w:val="00977CE7"/>
    <w:rsid w:val="009B1DD6"/>
    <w:rsid w:val="009D4212"/>
    <w:rsid w:val="009F566F"/>
    <w:rsid w:val="00A00DBE"/>
    <w:rsid w:val="00AA2D0C"/>
    <w:rsid w:val="00AF66B1"/>
    <w:rsid w:val="00B11246"/>
    <w:rsid w:val="00B36C0D"/>
    <w:rsid w:val="00B4156B"/>
    <w:rsid w:val="00B65720"/>
    <w:rsid w:val="00BC12F9"/>
    <w:rsid w:val="00C35939"/>
    <w:rsid w:val="00C50E9F"/>
    <w:rsid w:val="00C54A15"/>
    <w:rsid w:val="00CD2D19"/>
    <w:rsid w:val="00CD79BC"/>
    <w:rsid w:val="00D562BA"/>
    <w:rsid w:val="00DB3433"/>
    <w:rsid w:val="00E13BAF"/>
    <w:rsid w:val="00EE7898"/>
    <w:rsid w:val="00F97CDE"/>
    <w:rsid w:val="00FA21C5"/>
    <w:rsid w:val="00FA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39BF8-C37C-4054-B32E-EAFF2CA4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91A"/>
    <w:pPr>
      <w:ind w:left="720"/>
      <w:contextualSpacing/>
    </w:pPr>
  </w:style>
  <w:style w:type="paragraph" w:styleId="NormalWeb">
    <w:name w:val="Normal (Web)"/>
    <w:basedOn w:val="Normal"/>
    <w:uiPriority w:val="99"/>
    <w:unhideWhenUsed/>
    <w:rsid w:val="004E1B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1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246"/>
    <w:rPr>
      <w:rFonts w:ascii="Segoe UI" w:hAnsi="Segoe UI" w:cs="Segoe UI"/>
      <w:sz w:val="18"/>
      <w:szCs w:val="18"/>
    </w:rPr>
  </w:style>
  <w:style w:type="character" w:styleId="Hyperlink">
    <w:name w:val="Hyperlink"/>
    <w:basedOn w:val="DefaultParagraphFont"/>
    <w:uiPriority w:val="99"/>
    <w:semiHidden/>
    <w:unhideWhenUsed/>
    <w:rsid w:val="00FA4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3737">
      <w:bodyDiv w:val="1"/>
      <w:marLeft w:val="0"/>
      <w:marRight w:val="0"/>
      <w:marTop w:val="0"/>
      <w:marBottom w:val="0"/>
      <w:divBdr>
        <w:top w:val="none" w:sz="0" w:space="0" w:color="auto"/>
        <w:left w:val="none" w:sz="0" w:space="0" w:color="auto"/>
        <w:bottom w:val="none" w:sz="0" w:space="0" w:color="auto"/>
        <w:right w:val="none" w:sz="0" w:space="0" w:color="auto"/>
      </w:divBdr>
    </w:div>
    <w:div w:id="1136289770">
      <w:bodyDiv w:val="1"/>
      <w:marLeft w:val="0"/>
      <w:marRight w:val="0"/>
      <w:marTop w:val="0"/>
      <w:marBottom w:val="0"/>
      <w:divBdr>
        <w:top w:val="none" w:sz="0" w:space="0" w:color="auto"/>
        <w:left w:val="none" w:sz="0" w:space="0" w:color="auto"/>
        <w:bottom w:val="none" w:sz="0" w:space="0" w:color="auto"/>
        <w:right w:val="none" w:sz="0" w:space="0" w:color="auto"/>
      </w:divBdr>
    </w:div>
    <w:div w:id="1325627065">
      <w:bodyDiv w:val="1"/>
      <w:marLeft w:val="0"/>
      <w:marRight w:val="0"/>
      <w:marTop w:val="0"/>
      <w:marBottom w:val="0"/>
      <w:divBdr>
        <w:top w:val="none" w:sz="0" w:space="0" w:color="auto"/>
        <w:left w:val="none" w:sz="0" w:space="0" w:color="auto"/>
        <w:bottom w:val="none" w:sz="0" w:space="0" w:color="auto"/>
        <w:right w:val="none" w:sz="0" w:space="0" w:color="auto"/>
      </w:divBdr>
    </w:div>
    <w:div w:id="14792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pectme.org.uk/" TargetMode="External"/><Relationship Id="rId3" Type="http://schemas.openxmlformats.org/officeDocument/2006/relationships/settings" Target="settings.xml"/><Relationship Id="rId7" Type="http://schemas.openxmlformats.org/officeDocument/2006/relationships/hyperlink" Target="https://www.argyll-bute.gov.uk/sites/default/files/anti-bullying_policy_july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%username%</cp:lastModifiedBy>
  <cp:revision>2</cp:revision>
  <cp:lastPrinted>2022-01-17T12:58:00Z</cp:lastPrinted>
  <dcterms:created xsi:type="dcterms:W3CDTF">2023-10-26T12:43:00Z</dcterms:created>
  <dcterms:modified xsi:type="dcterms:W3CDTF">2023-10-26T12:43:00Z</dcterms:modified>
</cp:coreProperties>
</file>